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63" w:rsidRPr="00232206" w:rsidRDefault="00547F63">
      <w:pPr>
        <w:rPr>
          <w:b/>
          <w:color w:val="0070C0"/>
          <w:sz w:val="32"/>
          <w:szCs w:val="32"/>
        </w:rPr>
      </w:pPr>
      <w:bookmarkStart w:id="0" w:name="_GoBack"/>
      <w:bookmarkEnd w:id="0"/>
      <w:r w:rsidRPr="00232206">
        <w:rPr>
          <w:b/>
          <w:color w:val="0070C0"/>
          <w:sz w:val="32"/>
          <w:szCs w:val="32"/>
        </w:rPr>
        <w:t xml:space="preserve">Kaj so dokazi o predznanju, učenju in dosežkih? </w:t>
      </w:r>
    </w:p>
    <w:p w:rsidR="00547F63" w:rsidRDefault="00547F63" w:rsidP="00A2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jc w:val="both"/>
      </w:pPr>
      <w:r>
        <w:t xml:space="preserve">Dokazi so viri (zbirke) podatkov in ugotovitev, ki se nanašajo na procese učenja in dosežke učencev. Zbiranje dokazov omogoča učitelju </w:t>
      </w:r>
      <w:r w:rsidR="00E43BA3">
        <w:t xml:space="preserve">vpogled v razumevanje in učenje učencev. Na podlagi </w:t>
      </w:r>
      <w:r w:rsidR="00783DF3">
        <w:t xml:space="preserve">dokazov učitelj prilagaja procese poučevanja, in sicer tako, da izbira raznolike dejavnosti za učence. Ker učenje poteka na različnih področjih, so tudi dokazi različnih vrst – spoznavni (npr. odgovori učenca), psihomotorični (npr. gibalne spretnosti in veščine) in afektivni (npr. vrednote in reakcije, čustva). </w:t>
      </w:r>
    </w:p>
    <w:p w:rsidR="00B56EA0" w:rsidRDefault="00783DF3" w:rsidP="00A2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jc w:val="both"/>
      </w:pPr>
      <w:r w:rsidRPr="00A23EE5">
        <w:rPr>
          <w:b/>
        </w:rPr>
        <w:t>Ključno vprašanje ob vsakem dokazu je, katera znanja, spretnosti in veščine izkazuje učenec glede na načrtovane cilje pouka.</w:t>
      </w:r>
      <w:r>
        <w:t xml:space="preserve"> Dokaze učenčevega učenja in napredka lahko delimo v tri skupine.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54"/>
        <w:gridCol w:w="4656"/>
      </w:tblGrid>
      <w:tr w:rsidR="00B56EA0" w:rsidRPr="00BA09A1" w:rsidTr="00A23EE5">
        <w:trPr>
          <w:trHeight w:val="324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A0" w:rsidRPr="00A23EE5" w:rsidRDefault="00B56EA0" w:rsidP="00502B60">
            <w:pPr>
              <w:rPr>
                <w:rFonts w:ascii="Calibri" w:hAnsi="Calibri"/>
                <w:b/>
                <w:lang w:eastAsia="sl-SI"/>
              </w:rPr>
            </w:pPr>
            <w:r w:rsidRPr="00A23EE5">
              <w:rPr>
                <w:b/>
                <w:lang w:eastAsia="sl-SI"/>
              </w:rPr>
              <w:t>Dokazi</w:t>
            </w:r>
            <w:r w:rsidRPr="00A23EE5">
              <w:rPr>
                <w:rStyle w:val="Sprotnaopomba-sklic"/>
                <w:b/>
                <w:lang w:eastAsia="sl-SI"/>
              </w:rPr>
              <w:footnoteReference w:id="1"/>
            </w:r>
            <w:r w:rsidRPr="00A23EE5">
              <w:rPr>
                <w:b/>
                <w:lang w:eastAsia="sl-SI"/>
              </w:rPr>
              <w:t>, ki izhajajo iz pogovorov med poukom</w:t>
            </w:r>
            <w:r w:rsidR="000141CD" w:rsidRPr="00A23EE5">
              <w:rPr>
                <w:b/>
                <w:lang w:eastAsia="sl-SI"/>
              </w:rPr>
              <w:t>: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A0" w:rsidRPr="00A23EE5" w:rsidRDefault="00B56EA0" w:rsidP="00502B60">
            <w:pPr>
              <w:rPr>
                <w:rFonts w:ascii="Calibri" w:hAnsi="Calibri"/>
                <w:b/>
                <w:lang w:eastAsia="sl-SI"/>
              </w:rPr>
            </w:pPr>
            <w:r w:rsidRPr="00A23EE5">
              <w:rPr>
                <w:b/>
                <w:lang w:eastAsia="sl-SI"/>
              </w:rPr>
              <w:t>Dokazi, ki izhajajo iz opazovanj</w:t>
            </w:r>
            <w:r w:rsidR="000141CD" w:rsidRPr="00A23EE5">
              <w:rPr>
                <w:b/>
                <w:lang w:eastAsia="sl-SI"/>
              </w:rPr>
              <w:t>: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A0" w:rsidRPr="00A23EE5" w:rsidRDefault="00B56EA0" w:rsidP="00502B60">
            <w:pPr>
              <w:rPr>
                <w:rFonts w:ascii="Calibri" w:hAnsi="Calibri"/>
                <w:b/>
                <w:lang w:eastAsia="sl-SI"/>
              </w:rPr>
            </w:pPr>
            <w:r w:rsidRPr="00A23EE5">
              <w:rPr>
                <w:b/>
                <w:lang w:eastAsia="sl-SI"/>
              </w:rPr>
              <w:t>Izdelki</w:t>
            </w:r>
            <w:r w:rsidR="000141CD" w:rsidRPr="00A23EE5">
              <w:rPr>
                <w:b/>
                <w:lang w:eastAsia="sl-SI"/>
              </w:rPr>
              <w:t>:</w:t>
            </w:r>
          </w:p>
        </w:tc>
      </w:tr>
      <w:tr w:rsidR="00B56EA0" w:rsidRPr="00BA09A1" w:rsidTr="00A23EE5">
        <w:trPr>
          <w:trHeight w:val="4329"/>
        </w:trPr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47" w:hanging="284"/>
              <w:rPr>
                <w:rFonts w:ascii="Calibri" w:hAnsi="Calibri"/>
                <w:lang w:val="sl-SI" w:eastAsia="sl-SI"/>
              </w:rPr>
            </w:pPr>
            <w:r w:rsidRPr="00BA09A1">
              <w:rPr>
                <w:lang w:val="sl-SI" w:eastAsia="sl-SI"/>
              </w:rPr>
              <w:t>ustna vprašanja in odgovori učenca,</w:t>
            </w:r>
          </w:p>
          <w:p w:rsidR="00B56EA0" w:rsidRPr="00BA09A1" w:rsidRDefault="000141CD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47" w:hanging="284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problemsko </w:t>
            </w:r>
            <w:r w:rsidR="00B56EA0" w:rsidRPr="00BA09A1">
              <w:rPr>
                <w:lang w:val="sl-SI" w:eastAsia="sl-SI"/>
              </w:rPr>
              <w:t>vprašanje, ki ga postavi učenec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47" w:hanging="284"/>
              <w:rPr>
                <w:lang w:val="sl-SI" w:eastAsia="sl-SI"/>
              </w:rPr>
            </w:pPr>
            <w:r w:rsidRPr="00BA09A1">
              <w:rPr>
                <w:lang w:val="sl-SI" w:eastAsia="sl-SI"/>
              </w:rPr>
              <w:t xml:space="preserve">odgovori na intervju, ki ga ima učitelj </w:t>
            </w:r>
            <w:r>
              <w:rPr>
                <w:lang w:val="sl-SI" w:eastAsia="sl-SI"/>
              </w:rPr>
              <w:t xml:space="preserve">z učencem/intervju na določeno </w:t>
            </w:r>
            <w:r w:rsidRPr="00BA09A1">
              <w:rPr>
                <w:lang w:val="sl-SI" w:eastAsia="sl-SI"/>
              </w:rPr>
              <w:t xml:space="preserve">problematiko, ki </w:t>
            </w:r>
            <w:r w:rsidR="000141CD">
              <w:rPr>
                <w:lang w:val="sl-SI" w:eastAsia="sl-SI"/>
              </w:rPr>
              <w:t>ga pripravi učenec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47" w:hanging="284"/>
              <w:rPr>
                <w:lang w:val="sl-SI" w:eastAsia="sl-SI"/>
              </w:rPr>
            </w:pPr>
            <w:r w:rsidRPr="00BA09A1">
              <w:rPr>
                <w:lang w:val="sl-SI" w:eastAsia="sl-SI"/>
              </w:rPr>
              <w:t>sodelovanje/prispevek učenca na okrogli mizi (kaj je</w:t>
            </w:r>
            <w:r>
              <w:rPr>
                <w:lang w:val="sl-SI" w:eastAsia="sl-SI"/>
              </w:rPr>
              <w:t xml:space="preserve"> </w:t>
            </w:r>
            <w:r w:rsidRPr="00BA09A1">
              <w:rPr>
                <w:lang w:val="sl-SI" w:eastAsia="sl-SI"/>
              </w:rPr>
              <w:t xml:space="preserve">učenec povedal, kako </w:t>
            </w:r>
            <w:r>
              <w:rPr>
                <w:lang w:val="sl-SI" w:eastAsia="sl-SI"/>
              </w:rPr>
              <w:t>s</w:t>
            </w:r>
            <w:r w:rsidRPr="00BA09A1">
              <w:rPr>
                <w:lang w:val="sl-SI" w:eastAsia="sl-SI"/>
              </w:rPr>
              <w:t>e</w:t>
            </w:r>
            <w:r>
              <w:rPr>
                <w:lang w:val="sl-SI" w:eastAsia="sl-SI"/>
              </w:rPr>
              <w:t xml:space="preserve"> </w:t>
            </w:r>
            <w:r w:rsidRPr="00BA09A1">
              <w:rPr>
                <w:lang w:val="sl-SI" w:eastAsia="sl-SI"/>
              </w:rPr>
              <w:t>je pripravil…),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47" w:hanging="284"/>
              <w:rPr>
                <w:lang w:val="sl-SI" w:eastAsia="sl-SI"/>
              </w:rPr>
            </w:pPr>
            <w:r w:rsidRPr="00BA09A1">
              <w:rPr>
                <w:lang w:val="sl-SI" w:eastAsia="sl-SI"/>
              </w:rPr>
              <w:t>ovrednotenje lastnega dela učenca (samovrednotenje nečesa) in ovrednotenje dela učenca s strani sošolcev (vrstniško vrednotenje),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47" w:hanging="284"/>
              <w:rPr>
                <w:lang w:val="sl-SI" w:eastAsia="sl-SI"/>
              </w:rPr>
            </w:pPr>
            <w:r w:rsidRPr="00BA09A1">
              <w:rPr>
                <w:lang w:val="sl-SI" w:eastAsia="sl-SI"/>
              </w:rPr>
              <w:t>ustne refleksije učencev (učenec pove nekaj misli o svojih stališčih, prepričanjih v zvezi z neko vsebino ali proces učenja).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hd w:val="clear" w:color="auto" w:fill="B4C6E7" w:themeFill="accent5" w:themeFillTint="66"/>
              <w:spacing w:after="0" w:line="240" w:lineRule="auto"/>
              <w:ind w:left="315" w:hanging="284"/>
              <w:rPr>
                <w:rFonts w:ascii="Calibri" w:hAnsi="Calibri"/>
                <w:lang w:val="sl-SI" w:eastAsia="sl-SI"/>
              </w:rPr>
            </w:pPr>
            <w:r w:rsidRPr="00BA09A1">
              <w:rPr>
                <w:lang w:val="sl-SI" w:eastAsia="sl-SI"/>
              </w:rPr>
              <w:t>avdio in video posne</w:t>
            </w:r>
            <w:r>
              <w:rPr>
                <w:lang w:val="sl-SI" w:eastAsia="sl-SI"/>
              </w:rPr>
              <w:t>tki, kjer je videna neka dejavn</w:t>
            </w:r>
            <w:r w:rsidRPr="00BA09A1">
              <w:rPr>
                <w:lang w:val="sl-SI" w:eastAsia="sl-SI"/>
              </w:rPr>
              <w:t>o</w:t>
            </w:r>
            <w:r>
              <w:rPr>
                <w:lang w:val="sl-SI" w:eastAsia="sl-SI"/>
              </w:rPr>
              <w:t>s</w:t>
            </w:r>
            <w:r w:rsidRPr="00BA09A1">
              <w:rPr>
                <w:lang w:val="sl-SI" w:eastAsia="sl-SI"/>
              </w:rPr>
              <w:t>t učenca v povezavi z razvojem izbrane zmožnosti,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hd w:val="clear" w:color="auto" w:fill="B4C6E7" w:themeFill="accent5" w:themeFillTint="66"/>
              <w:spacing w:after="0" w:line="240" w:lineRule="auto"/>
              <w:ind w:left="315" w:hanging="284"/>
              <w:rPr>
                <w:lang w:val="sl-SI" w:eastAsia="sl-SI"/>
              </w:rPr>
            </w:pPr>
            <w:r>
              <w:rPr>
                <w:lang w:val="sl-SI" w:eastAsia="sl-SI"/>
              </w:rPr>
              <w:t>učenčevi izdelki, načrti, mis</w:t>
            </w:r>
            <w:r w:rsidRPr="00BA09A1">
              <w:rPr>
                <w:lang w:val="sl-SI" w:eastAsia="sl-SI"/>
              </w:rPr>
              <w:t>e</w:t>
            </w:r>
            <w:r>
              <w:rPr>
                <w:lang w:val="sl-SI" w:eastAsia="sl-SI"/>
              </w:rPr>
              <w:t>l</w:t>
            </w:r>
            <w:r w:rsidRPr="00BA09A1">
              <w:rPr>
                <w:lang w:val="sl-SI" w:eastAsia="sl-SI"/>
              </w:rPr>
              <w:t>ni vzorci, zapisi, kjer je učenec nekaj načrtoval ali izvajal neko dejavnost,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hd w:val="clear" w:color="auto" w:fill="B4C6E7" w:themeFill="accent5" w:themeFillTint="66"/>
              <w:spacing w:after="0" w:line="240" w:lineRule="auto"/>
              <w:ind w:left="315" w:hanging="284"/>
              <w:rPr>
                <w:lang w:val="sl-SI" w:eastAsia="sl-SI"/>
              </w:rPr>
            </w:pPr>
            <w:r w:rsidRPr="00BA09A1">
              <w:rPr>
                <w:lang w:val="sl-SI" w:eastAsia="sl-SI"/>
              </w:rPr>
              <w:t>zapis opazovanja ali kakršnokoli druga</w:t>
            </w:r>
            <w:r>
              <w:rPr>
                <w:lang w:val="sl-SI" w:eastAsia="sl-SI"/>
              </w:rPr>
              <w:t>čno opazovanje dejavnosti učenca</w:t>
            </w:r>
            <w:r w:rsidRPr="00BA09A1">
              <w:rPr>
                <w:lang w:val="sl-SI" w:eastAsia="sl-SI"/>
              </w:rPr>
              <w:t xml:space="preserve"> v skupini,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hd w:val="clear" w:color="auto" w:fill="B4C6E7" w:themeFill="accent5" w:themeFillTint="66"/>
              <w:spacing w:after="0" w:line="240" w:lineRule="auto"/>
              <w:ind w:left="315" w:hanging="284"/>
              <w:rPr>
                <w:lang w:val="sl-SI" w:eastAsia="sl-SI"/>
              </w:rPr>
            </w:pPr>
            <w:r w:rsidRPr="00BA09A1">
              <w:rPr>
                <w:lang w:val="sl-SI" w:eastAsia="sl-SI"/>
              </w:rPr>
              <w:t>pogovor z učencem, pogovor s sošolci, pregled nekega izdelka, ki dokazuje pr</w:t>
            </w:r>
            <w:r>
              <w:rPr>
                <w:lang w:val="sl-SI" w:eastAsia="sl-SI"/>
              </w:rPr>
              <w:t>i</w:t>
            </w:r>
            <w:r w:rsidRPr="00BA09A1">
              <w:rPr>
                <w:lang w:val="sl-SI" w:eastAsia="sl-SI"/>
              </w:rPr>
              <w:t>spevek učenca k skupinskemu dosežku (dokazilo je torej to, kar učitelj sliši, kar si zapiše, kar posname, izdelek, ki ga</w:t>
            </w:r>
            <w:r>
              <w:rPr>
                <w:lang w:val="sl-SI" w:eastAsia="sl-SI"/>
              </w:rPr>
              <w:t xml:space="preserve"> je naredil učenec…</w:t>
            </w:r>
            <w:r w:rsidRPr="00BA09A1">
              <w:rPr>
                <w:lang w:val="sl-SI" w:eastAsia="sl-SI"/>
              </w:rPr>
              <w:t>),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hd w:val="clear" w:color="auto" w:fill="B4C6E7" w:themeFill="accent5" w:themeFillTint="66"/>
              <w:spacing w:after="0" w:line="240" w:lineRule="auto"/>
              <w:ind w:left="315" w:hanging="284"/>
              <w:rPr>
                <w:lang w:val="sl-SI" w:eastAsia="sl-SI"/>
              </w:rPr>
            </w:pPr>
            <w:r w:rsidRPr="00BA09A1">
              <w:rPr>
                <w:lang w:val="sl-SI" w:eastAsia="sl-SI"/>
              </w:rPr>
              <w:t xml:space="preserve">ustno ali pisno preverjanje razumevanja pojmov pri učencu (izdelek so torej ustni ali zapisani odgovori, ki jih učitelj sliši ali vidi…). 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EA0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37" w:hanging="284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digitalne predstavitve: projekcija, spletna stran, fotografija, film, skladba...,</w:t>
            </w:r>
          </w:p>
          <w:p w:rsidR="00B56EA0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37" w:hanging="284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medijska orodja: časopis, reklama, prospekt, uvodnik, oglas, strip, poročilo, članek, reportaža,</w:t>
            </w:r>
          </w:p>
          <w:p w:rsidR="00B56EA0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37" w:hanging="284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temeljna pisna sporočila: spis, po</w:t>
            </w:r>
            <w:r w:rsidR="000141CD">
              <w:rPr>
                <w:rFonts w:ascii="Calibri" w:hAnsi="Calibri"/>
                <w:lang w:val="sl-SI" w:eastAsia="sl-SI"/>
              </w:rPr>
              <w:t xml:space="preserve">ročilo, pismo, novica, scenarij </w:t>
            </w:r>
            <w:r w:rsidR="00A23EE5">
              <w:rPr>
                <w:rFonts w:ascii="Calibri" w:hAnsi="Calibri"/>
                <w:lang w:val="sl-SI" w:eastAsia="sl-SI"/>
              </w:rPr>
              <w:t>…,</w:t>
            </w:r>
          </w:p>
          <w:p w:rsidR="00B56EA0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37" w:hanging="284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 xml:space="preserve">vizualne predstavitve: stenska slika, plakat, diagram, oglasna deska, razstava, skica, grafični organizatorji, </w:t>
            </w:r>
          </w:p>
          <w:p w:rsidR="00B56EA0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37" w:hanging="284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ustne in praktične predstavitve: eksperiment, dramatizacija, igra vlog, skladba, zapeta pesem…,</w:t>
            </w:r>
          </w:p>
          <w:p w:rsidR="00B56EA0" w:rsidRPr="00BA09A1" w:rsidRDefault="00B56EA0" w:rsidP="00A23EE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337" w:hanging="284"/>
              <w:rPr>
                <w:rFonts w:ascii="Calibri" w:hAnsi="Calibri"/>
                <w:lang w:val="sl-SI" w:eastAsia="sl-SI"/>
              </w:rPr>
            </w:pPr>
            <w:r>
              <w:rPr>
                <w:rFonts w:ascii="Calibri" w:hAnsi="Calibri"/>
                <w:lang w:val="sl-SI" w:eastAsia="sl-SI"/>
              </w:rPr>
              <w:t>drugo.</w:t>
            </w:r>
          </w:p>
        </w:tc>
      </w:tr>
    </w:tbl>
    <w:p w:rsidR="00B56EA0" w:rsidRPr="00A23EE5" w:rsidRDefault="00783DF3">
      <w:pPr>
        <w:rPr>
          <w:sz w:val="20"/>
          <w:szCs w:val="20"/>
        </w:rPr>
      </w:pPr>
      <w:r w:rsidRPr="00A23EE5">
        <w:rPr>
          <w:sz w:val="20"/>
          <w:szCs w:val="20"/>
        </w:rPr>
        <w:t xml:space="preserve">Vir: Holcar Brunauer, A. in sod.,  2016. Zakaj formativno spremljati. Priročnik za učitelje in strokovne delavce. Zvezek 2, Dokazi. Ljubljana : Zavod Republike Slovenije za šolstvo. </w:t>
      </w:r>
    </w:p>
    <w:sectPr w:rsidR="00B56EA0" w:rsidRPr="00A23EE5" w:rsidSect="00A23EE5">
      <w:footerReference w:type="default" r:id="rId8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7B" w:rsidRDefault="00840D7B" w:rsidP="00B56EA0">
      <w:pPr>
        <w:spacing w:after="0" w:line="240" w:lineRule="auto"/>
      </w:pPr>
      <w:r>
        <w:separator/>
      </w:r>
    </w:p>
  </w:endnote>
  <w:endnote w:type="continuationSeparator" w:id="0">
    <w:p w:rsidR="00840D7B" w:rsidRDefault="00840D7B" w:rsidP="00B5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313946"/>
      <w:docPartObj>
        <w:docPartGallery w:val="Page Numbers (Bottom of Page)"/>
        <w:docPartUnique/>
      </w:docPartObj>
    </w:sdtPr>
    <w:sdtEndPr/>
    <w:sdtContent>
      <w:p w:rsidR="00D739A5" w:rsidRDefault="00D739A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C07">
          <w:rPr>
            <w:noProof/>
          </w:rPr>
          <w:t>1</w:t>
        </w:r>
        <w:r>
          <w:fldChar w:fldCharType="end"/>
        </w:r>
      </w:p>
    </w:sdtContent>
  </w:sdt>
  <w:p w:rsidR="00D739A5" w:rsidRDefault="00D739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7B" w:rsidRDefault="00840D7B" w:rsidP="00B56EA0">
      <w:pPr>
        <w:spacing w:after="0" w:line="240" w:lineRule="auto"/>
      </w:pPr>
      <w:r>
        <w:separator/>
      </w:r>
    </w:p>
  </w:footnote>
  <w:footnote w:type="continuationSeparator" w:id="0">
    <w:p w:rsidR="00840D7B" w:rsidRDefault="00840D7B" w:rsidP="00B56EA0">
      <w:pPr>
        <w:spacing w:after="0" w:line="240" w:lineRule="auto"/>
      </w:pPr>
      <w:r>
        <w:continuationSeparator/>
      </w:r>
    </w:p>
  </w:footnote>
  <w:footnote w:id="1">
    <w:p w:rsidR="00B56EA0" w:rsidRDefault="00B56EA0" w:rsidP="000141CD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BA09A1">
        <w:rPr>
          <w:rStyle w:val="Sprotnaopomba-sklic"/>
        </w:rPr>
        <w:t>]</w:t>
      </w:r>
      <w:r w:rsidRPr="00BA09A1">
        <w:t xml:space="preserve"> </w:t>
      </w:r>
      <w:r w:rsidRPr="000141CD">
        <w:rPr>
          <w:rFonts w:asciiTheme="minorHAnsi" w:hAnsiTheme="minorHAnsi" w:cstheme="minorHAnsi"/>
        </w:rPr>
        <w:t>Dokazi so lahko: z vidika učitelja slišni, vidni (ali zaznani z drugimi čutili), z vidika učenca ustni in pi</w:t>
      </w:r>
      <w:r w:rsidR="000141CD">
        <w:rPr>
          <w:rFonts w:asciiTheme="minorHAnsi" w:hAnsiTheme="minorHAnsi" w:cstheme="minorHAnsi"/>
        </w:rPr>
        <w:t xml:space="preserve">sni, posebna skupina so </w:t>
      </w:r>
      <w:r w:rsidRPr="000141CD">
        <w:rPr>
          <w:rFonts w:asciiTheme="minorHAnsi" w:hAnsiTheme="minorHAnsi" w:cstheme="minorHAnsi"/>
        </w:rPr>
        <w:t xml:space="preserve">konkretni izdelki. </w:t>
      </w:r>
      <w:r w:rsidRPr="000141CD">
        <w:rPr>
          <w:rFonts w:asciiTheme="minorHAnsi" w:eastAsia="Times New Roman" w:hAnsiTheme="minorHAnsi" w:cstheme="minorHAnsi"/>
          <w:lang w:eastAsia="sl-SI"/>
        </w:rPr>
        <w:t xml:space="preserve"> </w:t>
      </w:r>
      <w:r w:rsidR="000141CD" w:rsidRPr="000141CD">
        <w:rPr>
          <w:rFonts w:asciiTheme="minorHAnsi" w:eastAsia="Times New Roman" w:hAnsiTheme="minorHAnsi" w:cstheme="minorHAnsi"/>
          <w:lang w:eastAsia="sl-SI"/>
        </w:rPr>
        <w:t>Dokaze, ki izhajajo iz opazovanj pogovorov in drugih aktivnosti med poukom</w:t>
      </w:r>
      <w:r w:rsidR="000141CD">
        <w:rPr>
          <w:rFonts w:asciiTheme="minorHAnsi" w:eastAsia="Times New Roman" w:hAnsiTheme="minorHAnsi" w:cstheme="minorHAnsi"/>
          <w:lang w:eastAsia="sl-SI"/>
        </w:rPr>
        <w:t>,</w:t>
      </w:r>
      <w:r w:rsidR="000141CD" w:rsidRPr="000141CD">
        <w:rPr>
          <w:rFonts w:asciiTheme="minorHAnsi" w:eastAsia="Times New Roman" w:hAnsiTheme="minorHAnsi" w:cstheme="minorHAnsi"/>
          <w:lang w:eastAsia="sl-SI"/>
        </w:rPr>
        <w:t xml:space="preserve"> je potrebno dokumentirati (zapisati, posneti …), še zlasti, če jih želimo shraniti ali na podlagi le-teh </w:t>
      </w:r>
      <w:r w:rsidR="000A09A9">
        <w:rPr>
          <w:rFonts w:asciiTheme="minorHAnsi" w:eastAsia="Times New Roman" w:hAnsiTheme="minorHAnsi" w:cstheme="minorHAnsi"/>
          <w:lang w:eastAsia="sl-SI"/>
        </w:rPr>
        <w:t xml:space="preserve">učenca oz. </w:t>
      </w:r>
      <w:r w:rsidR="000141CD" w:rsidRPr="000141CD">
        <w:rPr>
          <w:rFonts w:asciiTheme="minorHAnsi" w:eastAsia="Times New Roman" w:hAnsiTheme="minorHAnsi" w:cstheme="minorHAnsi"/>
          <w:lang w:eastAsia="sl-SI"/>
        </w:rPr>
        <w:t>dijaka kasneje povrtano informirati.</w:t>
      </w:r>
      <w:r w:rsidR="000141CD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129B"/>
    <w:multiLevelType w:val="hybridMultilevel"/>
    <w:tmpl w:val="F9C48092"/>
    <w:lvl w:ilvl="0" w:tplc="565EA6B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A0"/>
    <w:rsid w:val="000141CD"/>
    <w:rsid w:val="000A09A9"/>
    <w:rsid w:val="000A2558"/>
    <w:rsid w:val="000E65B4"/>
    <w:rsid w:val="000F0910"/>
    <w:rsid w:val="00167C07"/>
    <w:rsid w:val="001E11FB"/>
    <w:rsid w:val="00232206"/>
    <w:rsid w:val="002E396E"/>
    <w:rsid w:val="002E779A"/>
    <w:rsid w:val="00547F63"/>
    <w:rsid w:val="005D6811"/>
    <w:rsid w:val="00783DF3"/>
    <w:rsid w:val="00840D7B"/>
    <w:rsid w:val="00867CDF"/>
    <w:rsid w:val="009E586F"/>
    <w:rsid w:val="00A23EE5"/>
    <w:rsid w:val="00B56EA0"/>
    <w:rsid w:val="00D65068"/>
    <w:rsid w:val="00D739A5"/>
    <w:rsid w:val="00E43BA3"/>
    <w:rsid w:val="00F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9E9F"/>
  <w15:chartTrackingRefBased/>
  <w15:docId w15:val="{034995EA-B384-439F-83DA-2B357414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5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56EA0"/>
    <w:pPr>
      <w:spacing w:after="200" w:line="276" w:lineRule="auto"/>
      <w:ind w:left="720"/>
      <w:contextualSpacing/>
    </w:pPr>
    <w:rPr>
      <w:lang w:val="en-GB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56EA0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56EA0"/>
    <w:rPr>
      <w:rFonts w:ascii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56EA0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D7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39A5"/>
  </w:style>
  <w:style w:type="paragraph" w:styleId="Noga">
    <w:name w:val="footer"/>
    <w:basedOn w:val="Navaden"/>
    <w:link w:val="NogaZnak"/>
    <w:uiPriority w:val="99"/>
    <w:unhideWhenUsed/>
    <w:rsid w:val="00D7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B1C5E2-6354-46E8-AAEA-858C0295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Polšak</dc:creator>
  <cp:keywords/>
  <dc:description/>
  <cp:lastModifiedBy>Anton Polšak</cp:lastModifiedBy>
  <cp:revision>2</cp:revision>
  <dcterms:created xsi:type="dcterms:W3CDTF">2020-02-04T14:39:00Z</dcterms:created>
  <dcterms:modified xsi:type="dcterms:W3CDTF">2020-02-04T14:39:00Z</dcterms:modified>
</cp:coreProperties>
</file>